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777" w:rsidRDefault="00CC77FE" w:rsidP="00CC77FE">
      <w:pPr>
        <w:jc w:val="center"/>
      </w:pPr>
      <w:r>
        <w:t>Домашняя работа</w:t>
      </w:r>
    </w:p>
    <w:p w:rsidR="00CC77FE" w:rsidRDefault="00CC77FE" w:rsidP="00CC77FE">
      <w:r>
        <w:t>1. Отметьте на карте республики и их столицы, участвовавшие в подписании союзного договора 1922 года</w:t>
      </w:r>
      <w:r w:rsidR="00C717EB">
        <w:rPr>
          <w:rStyle w:val="a8"/>
        </w:rPr>
        <w:footnoteReference w:id="1"/>
      </w:r>
    </w:p>
    <w:p w:rsidR="00CC77FE" w:rsidRDefault="00CC77FE" w:rsidP="00CC77FE">
      <w:r>
        <w:t>2. Отметьте на карте республики и их столицы, появившиеся в 20-30-е годы. Подпишите годы их образования</w:t>
      </w:r>
      <w:r w:rsidR="00C717EB">
        <w:rPr>
          <w:rStyle w:val="a8"/>
        </w:rPr>
        <w:footnoteReference w:id="2"/>
      </w:r>
      <w:r>
        <w:t>.</w:t>
      </w:r>
    </w:p>
    <w:p w:rsidR="00CC77FE" w:rsidRDefault="00CC77FE" w:rsidP="00CC77FE">
      <w:r>
        <w:t>3. Отметьте на карте автономные республики (АССР) и их столицы</w:t>
      </w:r>
      <w:r w:rsidR="00C717EB">
        <w:rPr>
          <w:rStyle w:val="a8"/>
        </w:rPr>
        <w:footnoteReference w:id="3"/>
      </w:r>
      <w:r>
        <w:t>.</w:t>
      </w:r>
    </w:p>
    <w:p w:rsidR="00C717EB" w:rsidRDefault="00C717EB" w:rsidP="00CC77FE">
      <w:r>
        <w:t xml:space="preserve">4. Отметьте на карте районы голода 1921 г. </w:t>
      </w:r>
    </w:p>
    <w:p w:rsidR="00CC77FE" w:rsidRDefault="00C717EB" w:rsidP="00CC77FE">
      <w:r>
        <w:t xml:space="preserve">5. Используя дополнительный </w:t>
      </w:r>
      <w:proofErr w:type="gramStart"/>
      <w:r>
        <w:t>материал</w:t>
      </w:r>
      <w:proofErr w:type="gramEnd"/>
      <w:r>
        <w:t xml:space="preserve"> отметьте положительные и отрицательные черты Ленинского и Сталинского планов создания единого государства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717EB" w:rsidTr="00526F8C">
        <w:tc>
          <w:tcPr>
            <w:tcW w:w="4785" w:type="dxa"/>
            <w:gridSpan w:val="2"/>
          </w:tcPr>
          <w:p w:rsidR="00C717EB" w:rsidRDefault="00C717EB" w:rsidP="00C717EB">
            <w:pPr>
              <w:jc w:val="center"/>
            </w:pPr>
            <w:r>
              <w:t xml:space="preserve">Проект </w:t>
            </w:r>
            <w:proofErr w:type="spellStart"/>
            <w:r>
              <w:t>автономизации</w:t>
            </w:r>
            <w:proofErr w:type="spellEnd"/>
            <w:r>
              <w:t xml:space="preserve"> Сталина</w:t>
            </w:r>
          </w:p>
        </w:tc>
        <w:tc>
          <w:tcPr>
            <w:tcW w:w="4786" w:type="dxa"/>
            <w:gridSpan w:val="2"/>
          </w:tcPr>
          <w:p w:rsidR="00C717EB" w:rsidRDefault="00C717EB" w:rsidP="00C717EB">
            <w:pPr>
              <w:jc w:val="center"/>
            </w:pPr>
            <w:r>
              <w:t>Проект федерализации Ленина</w:t>
            </w:r>
          </w:p>
        </w:tc>
      </w:tr>
      <w:tr w:rsidR="00C717EB" w:rsidTr="00C717EB">
        <w:tc>
          <w:tcPr>
            <w:tcW w:w="2392" w:type="dxa"/>
          </w:tcPr>
          <w:p w:rsidR="00C717EB" w:rsidRDefault="00C717EB" w:rsidP="00C717EB">
            <w:pPr>
              <w:jc w:val="center"/>
            </w:pPr>
            <w:r>
              <w:t>+</w:t>
            </w:r>
          </w:p>
        </w:tc>
        <w:tc>
          <w:tcPr>
            <w:tcW w:w="2393" w:type="dxa"/>
          </w:tcPr>
          <w:p w:rsidR="00C717EB" w:rsidRDefault="00C717EB" w:rsidP="00C717EB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C717EB" w:rsidRDefault="00C717EB" w:rsidP="00C717EB">
            <w:pPr>
              <w:jc w:val="center"/>
            </w:pPr>
            <w:r>
              <w:t>+</w:t>
            </w:r>
          </w:p>
        </w:tc>
        <w:tc>
          <w:tcPr>
            <w:tcW w:w="2393" w:type="dxa"/>
          </w:tcPr>
          <w:p w:rsidR="00C717EB" w:rsidRDefault="00C717EB" w:rsidP="00C717EB">
            <w:pPr>
              <w:jc w:val="center"/>
            </w:pPr>
            <w:r>
              <w:t>-</w:t>
            </w:r>
          </w:p>
        </w:tc>
      </w:tr>
      <w:tr w:rsidR="00C717EB" w:rsidTr="00C717EB">
        <w:trPr>
          <w:trHeight w:val="4249"/>
        </w:trPr>
        <w:tc>
          <w:tcPr>
            <w:tcW w:w="2392" w:type="dxa"/>
          </w:tcPr>
          <w:p w:rsidR="00C717EB" w:rsidRDefault="00C717EB" w:rsidP="00CC77FE"/>
        </w:tc>
        <w:tc>
          <w:tcPr>
            <w:tcW w:w="2393" w:type="dxa"/>
          </w:tcPr>
          <w:p w:rsidR="00C717EB" w:rsidRDefault="00C717EB" w:rsidP="00CC77FE"/>
        </w:tc>
        <w:tc>
          <w:tcPr>
            <w:tcW w:w="2393" w:type="dxa"/>
          </w:tcPr>
          <w:p w:rsidR="00C717EB" w:rsidRDefault="00C717EB" w:rsidP="00CC77FE"/>
          <w:p w:rsidR="00C717EB" w:rsidRDefault="00C717EB" w:rsidP="00CC77FE"/>
          <w:p w:rsidR="00C717EB" w:rsidRDefault="00C717EB" w:rsidP="00CC77FE"/>
          <w:p w:rsidR="00C717EB" w:rsidRDefault="00C717EB" w:rsidP="00CC77FE"/>
          <w:p w:rsidR="00C717EB" w:rsidRDefault="00C717EB" w:rsidP="00CC77FE"/>
          <w:p w:rsidR="00C717EB" w:rsidRDefault="00C717EB" w:rsidP="00CC77FE"/>
          <w:p w:rsidR="00C717EB" w:rsidRDefault="00C717EB" w:rsidP="00CC77FE"/>
        </w:tc>
        <w:tc>
          <w:tcPr>
            <w:tcW w:w="2393" w:type="dxa"/>
          </w:tcPr>
          <w:p w:rsidR="00C717EB" w:rsidRDefault="00C717EB" w:rsidP="00CC77FE"/>
          <w:p w:rsidR="00C717EB" w:rsidRDefault="00C717EB" w:rsidP="00CC77FE"/>
          <w:p w:rsidR="00C717EB" w:rsidRDefault="00C717EB" w:rsidP="00CC77FE"/>
          <w:p w:rsidR="00C717EB" w:rsidRDefault="00C717EB" w:rsidP="00CC77FE"/>
          <w:p w:rsidR="00C717EB" w:rsidRDefault="00C717EB" w:rsidP="00CC77FE"/>
          <w:p w:rsidR="00C717EB" w:rsidRDefault="00C717EB" w:rsidP="00CC77FE"/>
        </w:tc>
      </w:tr>
    </w:tbl>
    <w:p w:rsidR="00C717EB" w:rsidRDefault="00C717EB" w:rsidP="00CC77FE">
      <w:pPr>
        <w:shd w:val="clear" w:color="auto" w:fill="FFFFFF"/>
        <w:spacing w:before="7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</w:pPr>
    </w:p>
    <w:p w:rsidR="00CC77FE" w:rsidRPr="00CC77FE" w:rsidRDefault="00CC77FE" w:rsidP="00CC77FE">
      <w:pPr>
        <w:shd w:val="clear" w:color="auto" w:fill="FFFFFF"/>
        <w:spacing w:before="7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C717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Глава II. О суверенных правах союзных республик и о союзном гражданстве</w:t>
      </w:r>
    </w:p>
    <w:p w:rsidR="00CC77FE" w:rsidRPr="00CC77FE" w:rsidRDefault="00CC77FE" w:rsidP="00C717EB">
      <w:pPr>
        <w:shd w:val="clear" w:color="auto" w:fill="FFFFFF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CC77FE">
        <w:rPr>
          <w:rFonts w:ascii="Times New Roman" w:eastAsia="Times New Roman" w:hAnsi="Times New Roman" w:cs="Times New Roman"/>
          <w:b/>
          <w:bCs/>
          <w:color w:val="222222"/>
          <w:sz w:val="25"/>
          <w:szCs w:val="25"/>
          <w:lang w:eastAsia="ru-RU"/>
        </w:rPr>
        <w:t>3.</w:t>
      </w:r>
      <w:r w:rsidRPr="00CC77FE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 Суверенитет союзных республик ограничен лишь в пределах, указанных в настоящей Конституции, и лишь по предметам, отнесенным к компетенции Союза. Вне этих пределов каждая союзная республика осуществляет свою государственную власть самостоятельно; Союз ССР охраняет суверенные права союзных республик.</w:t>
      </w:r>
    </w:p>
    <w:p w:rsidR="00CC77FE" w:rsidRPr="00CC77FE" w:rsidRDefault="00CC77FE" w:rsidP="00C717EB">
      <w:pPr>
        <w:shd w:val="clear" w:color="auto" w:fill="FFFFFF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CC77FE">
        <w:rPr>
          <w:rFonts w:ascii="Times New Roman" w:eastAsia="Times New Roman" w:hAnsi="Times New Roman" w:cs="Times New Roman"/>
          <w:b/>
          <w:bCs/>
          <w:color w:val="222222"/>
          <w:sz w:val="25"/>
          <w:szCs w:val="25"/>
          <w:lang w:eastAsia="ru-RU"/>
        </w:rPr>
        <w:t>4.</w:t>
      </w:r>
      <w:r w:rsidRPr="00CC77FE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 За каждой из союзных республик сохраняется право свободного выхода из Союза.</w:t>
      </w:r>
    </w:p>
    <w:p w:rsidR="00CC77FE" w:rsidRPr="00CC77FE" w:rsidRDefault="00CC77FE" w:rsidP="00C717EB">
      <w:pPr>
        <w:shd w:val="clear" w:color="auto" w:fill="FFFFFF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CC77FE">
        <w:rPr>
          <w:rFonts w:ascii="Times New Roman" w:eastAsia="Times New Roman" w:hAnsi="Times New Roman" w:cs="Times New Roman"/>
          <w:b/>
          <w:bCs/>
          <w:color w:val="222222"/>
          <w:sz w:val="25"/>
          <w:szCs w:val="25"/>
          <w:lang w:eastAsia="ru-RU"/>
        </w:rPr>
        <w:t>5.</w:t>
      </w:r>
      <w:r w:rsidRPr="00CC77FE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 Союзные республики, в соответствии с настоящей Конституцией, вносят изменения в свои конституции.</w:t>
      </w:r>
    </w:p>
    <w:p w:rsidR="00CC77FE" w:rsidRPr="00CC77FE" w:rsidRDefault="00CC77FE" w:rsidP="00C717EB">
      <w:pPr>
        <w:shd w:val="clear" w:color="auto" w:fill="FFFFFF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CC77FE">
        <w:rPr>
          <w:rFonts w:ascii="Times New Roman" w:eastAsia="Times New Roman" w:hAnsi="Times New Roman" w:cs="Times New Roman"/>
          <w:b/>
          <w:bCs/>
          <w:color w:val="222222"/>
          <w:sz w:val="25"/>
          <w:szCs w:val="25"/>
          <w:lang w:eastAsia="ru-RU"/>
        </w:rPr>
        <w:t>6.</w:t>
      </w:r>
      <w:r w:rsidRPr="00CC77FE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 Территория союзных республик не может быть изменяема без их согласия, а равно для изменения, ограничения или отмены статьи 4-й требуется согласие всех республик, входящих в Союз ССР.</w:t>
      </w:r>
    </w:p>
    <w:p w:rsidR="00CC77FE" w:rsidRDefault="00CC77FE" w:rsidP="00C717EB">
      <w:pPr>
        <w:shd w:val="clear" w:color="auto" w:fill="FFFFFF"/>
        <w:spacing w:after="0" w:line="240" w:lineRule="auto"/>
        <w:ind w:firstLine="384"/>
        <w:jc w:val="both"/>
      </w:pPr>
      <w:r w:rsidRPr="00CC77FE">
        <w:rPr>
          <w:rFonts w:ascii="Times New Roman" w:eastAsia="Times New Roman" w:hAnsi="Times New Roman" w:cs="Times New Roman"/>
          <w:b/>
          <w:bCs/>
          <w:color w:val="222222"/>
          <w:sz w:val="25"/>
          <w:szCs w:val="25"/>
          <w:lang w:eastAsia="ru-RU"/>
        </w:rPr>
        <w:t>7.</w:t>
      </w:r>
      <w:r w:rsidRPr="00CC77FE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 Для граждан союзных республик устанавливается единое союзное гражданство.</w:t>
      </w:r>
    </w:p>
    <w:sectPr w:rsidR="00CC77FE" w:rsidSect="00DD4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B20" w:rsidRDefault="00A76B20" w:rsidP="00C717EB">
      <w:pPr>
        <w:spacing w:after="0" w:line="240" w:lineRule="auto"/>
      </w:pPr>
      <w:r>
        <w:separator/>
      </w:r>
    </w:p>
  </w:endnote>
  <w:endnote w:type="continuationSeparator" w:id="0">
    <w:p w:rsidR="00A76B20" w:rsidRDefault="00A76B20" w:rsidP="00C7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B20" w:rsidRDefault="00A76B20" w:rsidP="00C717EB">
      <w:pPr>
        <w:spacing w:after="0" w:line="240" w:lineRule="auto"/>
      </w:pPr>
      <w:r>
        <w:separator/>
      </w:r>
    </w:p>
  </w:footnote>
  <w:footnote w:type="continuationSeparator" w:id="0">
    <w:p w:rsidR="00A76B20" w:rsidRDefault="00A76B20" w:rsidP="00C717EB">
      <w:pPr>
        <w:spacing w:after="0" w:line="240" w:lineRule="auto"/>
      </w:pPr>
      <w:r>
        <w:continuationSeparator/>
      </w:r>
    </w:p>
  </w:footnote>
  <w:footnote w:id="1">
    <w:p w:rsidR="00C717EB" w:rsidRDefault="00C717EB">
      <w:pPr>
        <w:pStyle w:val="a6"/>
      </w:pPr>
      <w:r>
        <w:rPr>
          <w:rStyle w:val="a8"/>
        </w:rPr>
        <w:footnoteRef/>
      </w:r>
      <w:r>
        <w:t xml:space="preserve"> ДВР вошла в состав РСФСР после вывод японских войск с Дальнего Востока</w:t>
      </w:r>
      <w:r w:rsidRPr="00C717EB">
        <w:t xml:space="preserve"> </w:t>
      </w:r>
      <w:r>
        <w:t>в 1922г.</w:t>
      </w:r>
    </w:p>
  </w:footnote>
  <w:footnote w:id="2">
    <w:p w:rsidR="00C717EB" w:rsidRDefault="00C717EB">
      <w:pPr>
        <w:pStyle w:val="a6"/>
      </w:pPr>
      <w:r>
        <w:rPr>
          <w:rStyle w:val="a8"/>
        </w:rPr>
        <w:footnoteRef/>
      </w:r>
      <w:r>
        <w:t xml:space="preserve"> С 1940 по 1956 существовала Карело-Финская ССР</w:t>
      </w:r>
    </w:p>
  </w:footnote>
  <w:footnote w:id="3">
    <w:p w:rsidR="00C717EB" w:rsidRDefault="00C717EB">
      <w:pPr>
        <w:pStyle w:val="a6"/>
      </w:pPr>
      <w:r>
        <w:rPr>
          <w:rStyle w:val="a8"/>
        </w:rPr>
        <w:footnoteRef/>
      </w:r>
      <w:r>
        <w:t xml:space="preserve"> Молдавия получила статус союзной республики после возвращения Бессарабии в 1940 г.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77FE"/>
    <w:rsid w:val="00A76B20"/>
    <w:rsid w:val="00C717EB"/>
    <w:rsid w:val="00CC77FE"/>
    <w:rsid w:val="00DD4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77"/>
  </w:style>
  <w:style w:type="paragraph" w:styleId="3">
    <w:name w:val="heading 3"/>
    <w:basedOn w:val="a"/>
    <w:link w:val="30"/>
    <w:uiPriority w:val="9"/>
    <w:qFormat/>
    <w:rsid w:val="00CC77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C77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CC77FE"/>
  </w:style>
  <w:style w:type="character" w:customStyle="1" w:styleId="mw-editsection">
    <w:name w:val="mw-editsection"/>
    <w:basedOn w:val="a0"/>
    <w:rsid w:val="00CC77FE"/>
  </w:style>
  <w:style w:type="character" w:customStyle="1" w:styleId="mw-editsection-bracket">
    <w:name w:val="mw-editsection-bracket"/>
    <w:basedOn w:val="a0"/>
    <w:rsid w:val="00CC77FE"/>
  </w:style>
  <w:style w:type="character" w:styleId="a3">
    <w:name w:val="Hyperlink"/>
    <w:basedOn w:val="a0"/>
    <w:uiPriority w:val="99"/>
    <w:semiHidden/>
    <w:unhideWhenUsed/>
    <w:rsid w:val="00CC77F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C7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71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C717E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717E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717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182CF-8367-4C8C-AFB1-EB3DCC62F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2019-12-01T19:49:00Z</cp:lastPrinted>
  <dcterms:created xsi:type="dcterms:W3CDTF">2019-12-01T19:19:00Z</dcterms:created>
  <dcterms:modified xsi:type="dcterms:W3CDTF">2019-12-01T19:50:00Z</dcterms:modified>
</cp:coreProperties>
</file>